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lastRenderedPageBreak/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  <w:bookmarkStart w:id="5" w:name="_GoBack"/>
      <w:bookmarkEnd w:id="5"/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324CAD20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7F4C70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C178D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bookmarkEnd w:id="0"/>
    <w:bookmarkEnd w:id="1"/>
    <w:bookmarkEnd w:id="2"/>
    <w:bookmarkEnd w:id="3"/>
    <w:bookmarkEnd w:id="4"/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headerReference w:type="default" r:id="rId11"/>
          <w:footerReference w:type="default" r:id="rId12"/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lastRenderedPageBreak/>
        <w:t>Pro aktivitu</w:t>
      </w:r>
      <w:r w:rsidR="00980D9B" w:rsidRPr="005228A7">
        <w:rPr>
          <w:b/>
          <w:sz w:val="24"/>
          <w:szCs w:val="24"/>
        </w:rPr>
        <w:t xml:space="preserve"> „</w:t>
      </w:r>
      <w:proofErr w:type="spellStart"/>
      <w:r w:rsidRPr="005228A7">
        <w:rPr>
          <w:b/>
          <w:sz w:val="24"/>
          <w:szCs w:val="24"/>
        </w:rPr>
        <w:t>Cyklodoprava</w:t>
      </w:r>
      <w:proofErr w:type="spellEnd"/>
      <w:r w:rsidRPr="005228A7">
        <w:rPr>
          <w:b/>
          <w:sz w:val="24"/>
          <w:szCs w:val="24"/>
        </w:rPr>
        <w:t>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</w:t>
            </w:r>
            <w:r w:rsidRPr="000842A7">
              <w:rPr>
                <w:sz w:val="20"/>
              </w:rPr>
              <w:lastRenderedPageBreak/>
              <w:t xml:space="preserve">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proofErr w:type="gramStart"/>
            <w:r>
              <w:rPr>
                <w:sz w:val="20"/>
                <w:szCs w:val="20"/>
              </w:rPr>
              <w:t>2%</w:t>
            </w:r>
            <w:proofErr w:type="gramEnd"/>
            <w:r>
              <w:rPr>
                <w:sz w:val="20"/>
                <w:szCs w:val="20"/>
              </w:rPr>
              <w:t xml:space="preserve">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</w:t>
            </w:r>
            <w:proofErr w:type="gramStart"/>
            <w:r w:rsidRPr="002A4245">
              <w:rPr>
                <w:rFonts w:cs="Arial"/>
                <w:sz w:val="20"/>
                <w:szCs w:val="20"/>
              </w:rPr>
              <w:t>a,b</w:t>
            </w:r>
            <w:proofErr w:type="gramEnd"/>
            <w:r w:rsidRPr="002A4245">
              <w:rPr>
                <w:rFonts w:cs="Arial"/>
                <w:sz w:val="20"/>
                <w:szCs w:val="20"/>
              </w:rPr>
              <w:t>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 xml:space="preserve">“ a pro </w:t>
            </w:r>
            <w:r w:rsidRPr="000842A7">
              <w:rPr>
                <w:sz w:val="20"/>
              </w:rPr>
              <w:lastRenderedPageBreak/>
              <w:t>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proofErr w:type="gramStart"/>
            <w:r>
              <w:rPr>
                <w:sz w:val="20"/>
                <w:szCs w:val="20"/>
              </w:rPr>
              <w:t>2%</w:t>
            </w:r>
            <w:proofErr w:type="gramEnd"/>
            <w:r>
              <w:rPr>
                <w:sz w:val="20"/>
                <w:szCs w:val="20"/>
              </w:rPr>
              <w:t xml:space="preserve">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3"/>
          <w:footerReference w:type="default" r:id="rId14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lastRenderedPageBreak/>
        <w:t>VAZEBNÍ TABULKA pro aktivit</w:t>
      </w:r>
      <w:r>
        <w:rPr>
          <w:b/>
          <w:sz w:val="28"/>
          <w:szCs w:val="28"/>
        </w:rPr>
        <w:t>u „</w:t>
      </w:r>
      <w:proofErr w:type="spellStart"/>
      <w:r>
        <w:rPr>
          <w:b/>
          <w:sz w:val="28"/>
          <w:szCs w:val="28"/>
        </w:rPr>
        <w:t>Cyklodoprava</w:t>
      </w:r>
      <w:proofErr w:type="spellEnd"/>
      <w:r>
        <w:rPr>
          <w:b/>
          <w:sz w:val="28"/>
          <w:szCs w:val="28"/>
        </w:rPr>
        <w:t>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7 61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</w:t>
            </w:r>
            <w:proofErr w:type="gramStart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01  -</w:t>
            </w:r>
            <w:proofErr w:type="gramEnd"/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361462A5" w14:textId="77777777" w:rsidR="00456BCB" w:rsidRPr="004C15AB" w:rsidRDefault="00456BCB" w:rsidP="00C3521A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4DD44C79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68E847E3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21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DC178D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1175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62E6B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244C7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D16E4"/>
    <w:rsid w:val="007F4C70"/>
    <w:rsid w:val="007F6713"/>
    <w:rsid w:val="0080696C"/>
    <w:rsid w:val="00810858"/>
    <w:rsid w:val="008133E5"/>
    <w:rsid w:val="00830E53"/>
    <w:rsid w:val="00833AEA"/>
    <w:rsid w:val="0085320D"/>
    <w:rsid w:val="00861B9B"/>
    <w:rsid w:val="00864D7A"/>
    <w:rsid w:val="008710CE"/>
    <w:rsid w:val="008759B9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521A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C178D"/>
    <w:rsid w:val="00DD7F49"/>
    <w:rsid w:val="00DE6541"/>
    <w:rsid w:val="00DF75C3"/>
    <w:rsid w:val="00E07FAF"/>
    <w:rsid w:val="00E102EF"/>
    <w:rsid w:val="00E2191B"/>
    <w:rsid w:val="00E256B5"/>
    <w:rsid w:val="00E34E43"/>
    <w:rsid w:val="00E44A3D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30ED-283F-4F48-90EB-D79579DE2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CAB88-9530-4C2A-B829-96C63B6E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4BE2F-E8F5-4101-B8AA-5B1D0BE577BD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E976F587-DDDE-4C42-BF1A-B6A0E293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1965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Tomáš Kovařík</cp:lastModifiedBy>
  <cp:revision>61</cp:revision>
  <cp:lastPrinted>2016-08-30T06:26:00Z</cp:lastPrinted>
  <dcterms:created xsi:type="dcterms:W3CDTF">2016-07-24T23:07:00Z</dcterms:created>
  <dcterms:modified xsi:type="dcterms:W3CDTF">2019-10-14T07:02:00Z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