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9A" w:rsidRDefault="00284C9A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333680" w:rsidRDefault="00333680" w:rsidP="00333680">
            <w:pPr>
              <w:pStyle w:val="Textbody"/>
            </w:pPr>
          </w:p>
          <w:p w:rsidR="00333680" w:rsidRDefault="00333680" w:rsidP="00333680">
            <w:pPr>
              <w:pStyle w:val="Textbody"/>
            </w:pPr>
          </w:p>
          <w:p w:rsidR="0084326A" w:rsidRPr="001D5686" w:rsidRDefault="0084326A" w:rsidP="00650EB4">
            <w:pPr>
              <w:spacing w:line="360" w:lineRule="auto"/>
              <w:jc w:val="center"/>
              <w:rPr>
                <w:rFonts w:ascii="Aller" w:hAnsi="Aller"/>
                <w:b/>
                <w:sz w:val="28"/>
                <w:szCs w:val="28"/>
              </w:rPr>
            </w:pPr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Vyhodnocení monitorovacích </w:t>
            </w:r>
            <w:r w:rsidR="00860455" w:rsidRPr="001D5686">
              <w:rPr>
                <w:rFonts w:ascii="Aller" w:hAnsi="Aller"/>
                <w:b/>
                <w:sz w:val="28"/>
                <w:szCs w:val="28"/>
              </w:rPr>
              <w:t>indikátorů za období 2009 – 2011</w:t>
            </w:r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, </w:t>
            </w:r>
          </w:p>
          <w:p w:rsidR="0084326A" w:rsidRPr="001D5686" w:rsidRDefault="0084326A" w:rsidP="0084326A">
            <w:pPr>
              <w:jc w:val="center"/>
              <w:rPr>
                <w:rFonts w:ascii="Aller" w:hAnsi="Aller"/>
                <w:b/>
                <w:sz w:val="28"/>
                <w:szCs w:val="28"/>
              </w:rPr>
            </w:pPr>
            <w:proofErr w:type="gramStart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1.- </w:t>
            </w:r>
            <w:r w:rsidR="00860455" w:rsidRPr="001D5686">
              <w:rPr>
                <w:rFonts w:ascii="Aller" w:hAnsi="Aller"/>
                <w:b/>
                <w:sz w:val="28"/>
                <w:szCs w:val="28"/>
              </w:rPr>
              <w:t>4</w:t>
            </w:r>
            <w:r w:rsidRPr="001D5686">
              <w:rPr>
                <w:rFonts w:ascii="Aller" w:hAnsi="Aller"/>
                <w:b/>
                <w:sz w:val="28"/>
                <w:szCs w:val="28"/>
              </w:rPr>
              <w:t>.</w:t>
            </w:r>
            <w:proofErr w:type="gramEnd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 Výzva </w:t>
            </w:r>
            <w:proofErr w:type="spellStart"/>
            <w:r w:rsidRPr="001D5686">
              <w:rPr>
                <w:rFonts w:ascii="Aller" w:hAnsi="Aller"/>
                <w:b/>
                <w:sz w:val="28"/>
                <w:szCs w:val="28"/>
              </w:rPr>
              <w:t>Luhačovské</w:t>
            </w:r>
            <w:proofErr w:type="spellEnd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 Zálesí, o.p.s.</w:t>
            </w:r>
          </w:p>
          <w:p w:rsidR="0084326A" w:rsidRDefault="0084326A" w:rsidP="008432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326A" w:rsidRPr="001D5686" w:rsidRDefault="0084326A" w:rsidP="0084326A">
            <w:pPr>
              <w:jc w:val="center"/>
              <w:rPr>
                <w:rFonts w:ascii="Aller" w:hAnsi="Aller"/>
                <w:b/>
                <w:i/>
              </w:rPr>
            </w:pPr>
            <w:r w:rsidRPr="001D5686">
              <w:rPr>
                <w:rFonts w:ascii="Aller" w:hAnsi="Aller"/>
                <w:b/>
                <w:i/>
              </w:rPr>
              <w:t xml:space="preserve">Monitorovací indikátory dle </w:t>
            </w:r>
            <w:proofErr w:type="spellStart"/>
            <w:r w:rsidRPr="001D5686">
              <w:rPr>
                <w:rFonts w:ascii="Aller" w:hAnsi="Aller"/>
                <w:b/>
                <w:i/>
              </w:rPr>
              <w:t>Fichí</w:t>
            </w:r>
            <w:proofErr w:type="spellEnd"/>
          </w:p>
          <w:p w:rsidR="00284C9A" w:rsidRDefault="00284C9A" w:rsidP="00333680">
            <w:pPr>
              <w:pStyle w:val="Textbody"/>
            </w:pPr>
          </w:p>
          <w:tbl>
            <w:tblPr>
              <w:tblpPr w:leftFromText="141" w:rightFromText="141" w:vertAnchor="text" w:tblpY="1"/>
              <w:tblOverlap w:val="never"/>
              <w:tblW w:w="1117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832"/>
              <w:gridCol w:w="833"/>
              <w:gridCol w:w="833"/>
              <w:gridCol w:w="833"/>
              <w:gridCol w:w="833"/>
              <w:gridCol w:w="833"/>
              <w:gridCol w:w="833"/>
              <w:gridCol w:w="833"/>
              <w:gridCol w:w="1129"/>
              <w:gridCol w:w="1129"/>
            </w:tblGrid>
            <w:tr w:rsidR="0084326A" w:rsidRPr="00262224" w:rsidTr="00544DC6">
              <w:trPr>
                <w:trHeight w:val="1041"/>
              </w:trPr>
              <w:tc>
                <w:tcPr>
                  <w:tcW w:w="2255" w:type="dxa"/>
                </w:tcPr>
                <w:p w:rsidR="0084326A" w:rsidRPr="000707E2" w:rsidRDefault="0084326A" w:rsidP="004C4334">
                  <w:pPr>
                    <w:autoSpaceDE w:val="0"/>
                    <w:adjustRightInd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84326A" w:rsidRPr="00C70267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C70267">
                    <w:rPr>
                      <w:rFonts w:ascii="Arial Narrow" w:hAnsi="Arial Narrow"/>
                      <w:b/>
                    </w:rPr>
                    <w:t>Celkem skutečný stav</w:t>
                  </w:r>
                </w:p>
              </w:tc>
              <w:tc>
                <w:tcPr>
                  <w:tcW w:w="1129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707E2">
                    <w:rPr>
                      <w:rFonts w:ascii="Arial Narrow" w:hAnsi="Arial Narrow"/>
                      <w:b/>
                    </w:rPr>
                    <w:t>Plánovaný stav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Podpořené subjekty (obce, zemědělské subjekty, </w:t>
                  </w:r>
                  <w:proofErr w:type="spellStart"/>
                  <w:r w:rsidRPr="000707E2">
                    <w:rPr>
                      <w:sz w:val="20"/>
                      <w:szCs w:val="20"/>
                    </w:rPr>
                    <w:t>mikropodniky</w:t>
                  </w:r>
                  <w:proofErr w:type="spellEnd"/>
                  <w:r w:rsidRPr="000707E2">
                    <w:rPr>
                      <w:sz w:val="20"/>
                      <w:szCs w:val="20"/>
                    </w:rPr>
                    <w:t>, podnikatelé, NNO)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3312FE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52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</w:rPr>
                    <w:t>36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Celkový objem investic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2.399.547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164.849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401.207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6.917.164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11.459.741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3312FE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21.342.508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52 000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Podpořené nové prvky turistické infrastruktury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3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4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44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10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Počet zakoupených technologií (zařízení, stroje)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21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2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Vytvořená hrubá pracovní místa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16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4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Počet podpořených druhů výrobků, produktů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2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Obnovená/ nová občanská vybavenost 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38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5</w:t>
                  </w:r>
                </w:p>
              </w:tc>
            </w:tr>
            <w:tr w:rsidR="00B07AFC" w:rsidRPr="00262224" w:rsidTr="00544DC6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Vybudovaná / obnovená lesní infrastruktura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EB5FB2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3</w:t>
                  </w:r>
                </w:p>
              </w:tc>
            </w:tr>
          </w:tbl>
          <w:p w:rsidR="00284C9A" w:rsidRDefault="00284C9A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4F7EB5">
            <w:pPr>
              <w:pStyle w:val="Textbody"/>
            </w:pPr>
            <w:r>
              <w:t>Indikátory sledované mimo SPL:</w:t>
            </w:r>
          </w:p>
          <w:p w:rsidR="004F7EB5" w:rsidRDefault="004F7EB5" w:rsidP="00333680">
            <w:pPr>
              <w:pStyle w:val="Textbody"/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70C0">
                    <w:rPr>
                      <w:rFonts w:ascii="Times New Roman" w:hAnsi="Times New Roman" w:cs="Times New Roman"/>
                      <w:b/>
                    </w:rPr>
                    <w:t>Sledovaný indikátor</w:t>
                  </w:r>
                </w:p>
              </w:tc>
              <w:tc>
                <w:tcPr>
                  <w:tcW w:w="5096" w:type="dxa"/>
                </w:tcPr>
                <w:p w:rsidR="004F7EB5" w:rsidRPr="00D870C0" w:rsidRDefault="004F7EB5" w:rsidP="0054670B">
                  <w:pPr>
                    <w:pStyle w:val="Textbody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70C0">
                    <w:rPr>
                      <w:rFonts w:ascii="Times New Roman" w:hAnsi="Times New Roman" w:cs="Times New Roman"/>
                      <w:b/>
                    </w:rPr>
                    <w:t xml:space="preserve">Počet (za všechny </w:t>
                  </w:r>
                  <w:proofErr w:type="spellStart"/>
                  <w:r w:rsidRPr="00D870C0">
                    <w:rPr>
                      <w:rFonts w:ascii="Times New Roman" w:hAnsi="Times New Roman" w:cs="Times New Roman"/>
                      <w:b/>
                    </w:rPr>
                    <w:t>Fiche</w:t>
                  </w:r>
                  <w:proofErr w:type="spellEnd"/>
                  <w:r w:rsidRPr="00D870C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dle obcí (obce, města a městys)</w:t>
                  </w:r>
                </w:p>
              </w:tc>
              <w:tc>
                <w:tcPr>
                  <w:tcW w:w="5096" w:type="dxa"/>
                </w:tcPr>
                <w:p w:rsidR="004F7EB5" w:rsidRPr="00D870C0" w:rsidRDefault="0059220C" w:rsidP="0059220C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(9+10+1</w:t>
                  </w:r>
                  <w:r w:rsidR="004F02EF">
                    <w:rPr>
                      <w:rFonts w:ascii="Times New Roman" w:hAnsi="Times New Roman" w:cs="Times New Roman"/>
                    </w:rPr>
                    <w:t>+11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Počet katastrů čerpajících dotaci</w:t>
                  </w:r>
                </w:p>
              </w:tc>
              <w:tc>
                <w:tcPr>
                  <w:tcW w:w="5096" w:type="dxa"/>
                </w:tcPr>
                <w:p w:rsidR="004F7EB5" w:rsidRPr="00D870C0" w:rsidRDefault="00464C55" w:rsidP="00464C55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podnikatelskými subjekty</w:t>
                  </w:r>
                </w:p>
              </w:tc>
              <w:tc>
                <w:tcPr>
                  <w:tcW w:w="5096" w:type="dxa"/>
                </w:tcPr>
                <w:p w:rsidR="004F7EB5" w:rsidRPr="00D870C0" w:rsidRDefault="0059220C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(2+0+4</w:t>
                  </w:r>
                  <w:r w:rsidR="004F02EF">
                    <w:rPr>
                      <w:rFonts w:ascii="Times New Roman" w:hAnsi="Times New Roman" w:cs="Times New Roman"/>
                    </w:rPr>
                    <w:t>+0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neziskovými organizacemi</w:t>
                  </w:r>
                </w:p>
              </w:tc>
              <w:tc>
                <w:tcPr>
                  <w:tcW w:w="5096" w:type="dxa"/>
                </w:tcPr>
                <w:p w:rsidR="004F7EB5" w:rsidRPr="00D870C0" w:rsidRDefault="0059220C" w:rsidP="004F02EF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4F02EF">
                    <w:rPr>
                      <w:rFonts w:ascii="Times New Roman" w:hAnsi="Times New Roman" w:cs="Times New Roman"/>
                    </w:rPr>
                    <w:t>1</w:t>
                  </w:r>
                  <w:r w:rsidR="004F7EB5">
                    <w:rPr>
                      <w:rFonts w:ascii="Times New Roman" w:hAnsi="Times New Roman" w:cs="Times New Roman"/>
                    </w:rPr>
                    <w:t>+7+0</w:t>
                  </w:r>
                  <w:r w:rsidR="004F02EF">
                    <w:rPr>
                      <w:rFonts w:ascii="Times New Roman" w:hAnsi="Times New Roman" w:cs="Times New Roman"/>
                    </w:rPr>
                    <w:t>+7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7E12DC" w:rsidP="00333680">
            <w:pPr>
              <w:pStyle w:val="Textbody"/>
            </w:pPr>
            <w:r>
              <w:t>Vyhodnocení:</w:t>
            </w:r>
          </w:p>
          <w:p w:rsidR="007E12DC" w:rsidRDefault="00542C89" w:rsidP="00542C89">
            <w:pPr>
              <w:pStyle w:val="Textbody"/>
              <w:jc w:val="both"/>
            </w:pPr>
            <w:r>
              <w:t xml:space="preserve">Při porovnání výsledků za 1. – 4. Výzvu lze vidět, že doposud nedošlo k naplnění 4 indikátorů z 9. Ostatní indikátory jsou naplněny více jak ze 100 %. V letošním roce došlo k rozhodnutí, že již nebude vyhlašována </w:t>
            </w:r>
            <w:proofErr w:type="spellStart"/>
            <w:r>
              <w:t>Fiche</w:t>
            </w:r>
            <w:proofErr w:type="spellEnd"/>
            <w:r>
              <w:t xml:space="preserve"> č. 5 a na </w:t>
            </w:r>
            <w:proofErr w:type="gramStart"/>
            <w:r>
              <w:t>místo ní</w:t>
            </w:r>
            <w:proofErr w:type="gramEnd"/>
            <w:r>
              <w:t xml:space="preserve">, byla přidána nová </w:t>
            </w:r>
            <w:proofErr w:type="spellStart"/>
            <w:r>
              <w:t>Fiche</w:t>
            </w:r>
            <w:proofErr w:type="spellEnd"/>
            <w:r>
              <w:t xml:space="preserve"> týkající se cestovního ruchu. Přidání této </w:t>
            </w:r>
            <w:proofErr w:type="spellStart"/>
            <w:r>
              <w:t>Fiche</w:t>
            </w:r>
            <w:proofErr w:type="spellEnd"/>
            <w:r>
              <w:t>, by mělo pomoci k naplnění některých zbývajících indikátorů. V rámci střednědobé evaluace SPL, která proběhne ke konci letošního roku, dojde k úpravě některých indikátorů. Toto vyhodnocení bude sloužit k aktualizaci SPL.</w:t>
            </w:r>
          </w:p>
          <w:p w:rsidR="00471C79" w:rsidRDefault="00471C79" w:rsidP="00542C89">
            <w:pPr>
              <w:pStyle w:val="Textbody"/>
              <w:jc w:val="both"/>
            </w:pPr>
          </w:p>
          <w:p w:rsidR="007172FA" w:rsidRDefault="007172FA" w:rsidP="007172FA">
            <w:pPr>
              <w:pStyle w:val="Textbody"/>
              <w:jc w:val="both"/>
            </w:pPr>
            <w:r>
              <w:t>4. 7. 2011</w:t>
            </w:r>
          </w:p>
          <w:p w:rsidR="004F7EB5" w:rsidRDefault="004F7EB5" w:rsidP="00333680">
            <w:pPr>
              <w:pStyle w:val="Textbody"/>
            </w:pPr>
          </w:p>
          <w:p w:rsidR="004F7EB5" w:rsidRPr="00333680" w:rsidRDefault="004F7EB5" w:rsidP="00333680">
            <w:pPr>
              <w:pStyle w:val="Textbody"/>
            </w:pPr>
            <w:bookmarkStart w:id="0" w:name="_GoBack"/>
            <w:bookmarkEnd w:id="0"/>
          </w:p>
          <w:p w:rsidR="00506CFD" w:rsidRDefault="00506CFD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8" w:rsidRDefault="00954B98">
      <w:r>
        <w:separator/>
      </w:r>
    </w:p>
  </w:endnote>
  <w:endnote w:type="continuationSeparator" w:id="0">
    <w:p w:rsidR="00954B98" w:rsidRDefault="0095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Times New Roman"/>
    <w:charset w:val="00"/>
    <w:family w:val="modern"/>
    <w:pitch w:val="default"/>
    <w:sig w:usb0="00000007" w:usb1="00000000" w:usb2="00000000" w:usb3="00000000" w:csb0="0000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8" w:rsidRDefault="00954B98">
      <w:r>
        <w:rPr>
          <w:color w:val="000000"/>
        </w:rPr>
        <w:separator/>
      </w:r>
    </w:p>
  </w:footnote>
  <w:footnote w:type="continuationSeparator" w:id="0">
    <w:p w:rsidR="00954B98" w:rsidRDefault="0095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8695F"/>
    <w:rsid w:val="00091BDD"/>
    <w:rsid w:val="001550C3"/>
    <w:rsid w:val="001D5686"/>
    <w:rsid w:val="00216B9E"/>
    <w:rsid w:val="0028349E"/>
    <w:rsid w:val="00284C9A"/>
    <w:rsid w:val="003312FE"/>
    <w:rsid w:val="0033252A"/>
    <w:rsid w:val="00333680"/>
    <w:rsid w:val="003F2E24"/>
    <w:rsid w:val="00437393"/>
    <w:rsid w:val="00464C55"/>
    <w:rsid w:val="00471C79"/>
    <w:rsid w:val="00485625"/>
    <w:rsid w:val="004F02EF"/>
    <w:rsid w:val="004F7EB5"/>
    <w:rsid w:val="00506CFD"/>
    <w:rsid w:val="00542C89"/>
    <w:rsid w:val="00544DC6"/>
    <w:rsid w:val="00545D28"/>
    <w:rsid w:val="0059220C"/>
    <w:rsid w:val="005B332D"/>
    <w:rsid w:val="005F2328"/>
    <w:rsid w:val="00650EB4"/>
    <w:rsid w:val="007172FA"/>
    <w:rsid w:val="007E12DC"/>
    <w:rsid w:val="0083661B"/>
    <w:rsid w:val="0084326A"/>
    <w:rsid w:val="00860455"/>
    <w:rsid w:val="00861CCE"/>
    <w:rsid w:val="00874AC0"/>
    <w:rsid w:val="00954B98"/>
    <w:rsid w:val="00955BDF"/>
    <w:rsid w:val="00A15986"/>
    <w:rsid w:val="00AC300C"/>
    <w:rsid w:val="00B07AFC"/>
    <w:rsid w:val="00C70267"/>
    <w:rsid w:val="00C93F43"/>
    <w:rsid w:val="00CA6304"/>
    <w:rsid w:val="00DF1A01"/>
    <w:rsid w:val="00EA36A9"/>
    <w:rsid w:val="00EB68C1"/>
    <w:rsid w:val="00FB173A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3336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3336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mag</cp:lastModifiedBy>
  <cp:revision>36</cp:revision>
  <cp:lastPrinted>2012-07-26T15:00:00Z</cp:lastPrinted>
  <dcterms:created xsi:type="dcterms:W3CDTF">2010-11-11T22:07:00Z</dcterms:created>
  <dcterms:modified xsi:type="dcterms:W3CDTF">2012-07-27T09:59:00Z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