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733AA6" w:rsidRPr="00126E69" w:rsidTr="008038E5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126E69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3AA6" w:rsidRPr="00126E69" w:rsidRDefault="00C7699F" w:rsidP="00D02D68">
                  <w:pPr>
                    <w:rPr>
                      <w:rFonts w:ascii="Aller" w:hAnsi="Aller"/>
                    </w:rPr>
                  </w:pPr>
                  <w:r w:rsidRPr="00C7699F">
                    <w:rPr>
                      <w:rFonts w:ascii="Aller" w:hAnsi="Aller"/>
                    </w:rPr>
                    <w:t xml:space="preserve">STAVEBNÍ ÚPRAVY A PŘÍSTAVBA DOMU </w:t>
                  </w:r>
                  <w:proofErr w:type="gramStart"/>
                  <w:r w:rsidRPr="00C7699F">
                    <w:rPr>
                      <w:rFonts w:ascii="Aller" w:hAnsi="Aller"/>
                    </w:rPr>
                    <w:t>Č.P.</w:t>
                  </w:r>
                  <w:proofErr w:type="gramEnd"/>
                  <w:r w:rsidRPr="00C7699F">
                    <w:rPr>
                      <w:rFonts w:ascii="Aller" w:hAnsi="Aller"/>
                    </w:rPr>
                    <w:t xml:space="preserve"> 56 V RUDIMOVĚ NA OBCHOD</w:t>
                  </w:r>
                </w:p>
              </w:tc>
            </w:tr>
            <w:tr w:rsidR="00600BA4" w:rsidRPr="00126E69" w:rsidTr="00680D8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00BA4" w:rsidRPr="00126E69" w:rsidRDefault="00C7699F" w:rsidP="00D02D68">
                  <w:pPr>
                    <w:rPr>
                      <w:rFonts w:ascii="Aller" w:hAnsi="Aller"/>
                      <w:szCs w:val="22"/>
                    </w:rPr>
                  </w:pPr>
                  <w:r w:rsidRPr="00C7699F">
                    <w:rPr>
                      <w:rFonts w:ascii="Aller" w:hAnsi="Aller"/>
                      <w:szCs w:val="22"/>
                    </w:rPr>
                    <w:t>OBEC RUDIMOV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proofErr w:type="spellStart"/>
                  <w:r w:rsidRPr="00126E69">
                    <w:rPr>
                      <w:rFonts w:ascii="Aller" w:hAnsi="Aller"/>
                      <w:b/>
                      <w:color w:val="FFFFFF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122D4A" w:rsidP="00600BA4">
                  <w:pPr>
                    <w:rPr>
                      <w:rFonts w:ascii="Aller" w:hAnsi="Aller"/>
                      <w:bCs/>
                      <w:i/>
                      <w:iCs/>
                    </w:rPr>
                  </w:pPr>
                  <w:r w:rsidRPr="00122D4A">
                    <w:rPr>
                      <w:rFonts w:ascii="Aller" w:hAnsi="Aller"/>
                      <w:bCs/>
                    </w:rPr>
                    <w:t>FI</w:t>
                  </w:r>
                  <w:r>
                    <w:rPr>
                      <w:rFonts w:ascii="Aller" w:hAnsi="Aller"/>
                      <w:bCs/>
                    </w:rPr>
                    <w:t xml:space="preserve">CHE 7: </w:t>
                  </w:r>
                  <w:r w:rsidRPr="00122D4A">
                    <w:rPr>
                      <w:rFonts w:ascii="Aller" w:hAnsi="Aller"/>
                      <w:bCs/>
                    </w:rPr>
                    <w:t>Zvýšení kvality občanského vybavení a služeb v obcích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2D4A" w:rsidRPr="00122D4A" w:rsidRDefault="00122D4A" w:rsidP="00122D4A">
                  <w:pPr>
                    <w:autoSpaceDE w:val="0"/>
                    <w:adjustRightInd w:val="0"/>
                    <w:rPr>
                      <w:rFonts w:ascii="Aller" w:hAnsi="Aller"/>
                      <w:bCs/>
                    </w:rPr>
                  </w:pPr>
                  <w:r w:rsidRPr="00122D4A">
                    <w:rPr>
                      <w:rFonts w:ascii="Aller" w:hAnsi="Aller"/>
                      <w:bCs/>
                    </w:rPr>
                    <w:t xml:space="preserve">Hlavní opatření: </w:t>
                  </w:r>
                  <w:r w:rsidRPr="00122D4A">
                    <w:rPr>
                      <w:rFonts w:ascii="Aller" w:hAnsi="Aller"/>
                      <w:bCs/>
                    </w:rPr>
                    <w:tab/>
                  </w:r>
                  <w:proofErr w:type="gramStart"/>
                  <w:r w:rsidRPr="00122D4A">
                    <w:rPr>
                      <w:rFonts w:ascii="Aller" w:hAnsi="Aller"/>
                      <w:bCs/>
                    </w:rPr>
                    <w:t>III.2.1</w:t>
                  </w:r>
                  <w:proofErr w:type="gramEnd"/>
                  <w:r w:rsidRPr="00122D4A">
                    <w:rPr>
                      <w:rFonts w:ascii="Aller" w:hAnsi="Aller"/>
                      <w:bCs/>
                    </w:rPr>
                    <w:t>. Obnova a rozvoj vesnic, občanské vybavení a služby</w:t>
                  </w:r>
                </w:p>
                <w:p w:rsidR="00600BA4" w:rsidRPr="00126E69" w:rsidRDefault="00122D4A" w:rsidP="00122D4A">
                  <w:pPr>
                    <w:pStyle w:val="Zkladntext"/>
                    <w:rPr>
                      <w:rFonts w:ascii="Aller" w:hAnsi="Aller"/>
                    </w:rPr>
                  </w:pPr>
                  <w:proofErr w:type="spellStart"/>
                  <w:r w:rsidRPr="00122D4A">
                    <w:rPr>
                      <w:rFonts w:ascii="Aller" w:hAnsi="Aller"/>
                      <w:bCs/>
                    </w:rPr>
                    <w:t>Podopatření</w:t>
                  </w:r>
                  <w:proofErr w:type="spellEnd"/>
                  <w:r w:rsidRPr="00122D4A">
                    <w:rPr>
                      <w:rFonts w:ascii="Aller" w:hAnsi="Aller"/>
                      <w:bCs/>
                    </w:rPr>
                    <w:t xml:space="preserve"> :</w:t>
                  </w:r>
                  <w:r w:rsidRPr="00122D4A">
                    <w:rPr>
                      <w:rFonts w:ascii="Aller" w:hAnsi="Aller"/>
                      <w:bCs/>
                    </w:rPr>
                    <w:tab/>
                  </w:r>
                  <w:r w:rsidRPr="00122D4A">
                    <w:rPr>
                      <w:rFonts w:ascii="Aller" w:hAnsi="Aller"/>
                      <w:bCs/>
                    </w:rPr>
                    <w:tab/>
                  </w:r>
                  <w:proofErr w:type="gramStart"/>
                  <w:r w:rsidRPr="00122D4A">
                    <w:rPr>
                      <w:rFonts w:ascii="Aller" w:hAnsi="Aller"/>
                      <w:bCs/>
                    </w:rPr>
                    <w:t>III.2.1.2</w:t>
                  </w:r>
                  <w:proofErr w:type="gramEnd"/>
                  <w:r w:rsidRPr="00122D4A">
                    <w:rPr>
                      <w:rFonts w:ascii="Aller" w:hAnsi="Aller"/>
                      <w:bCs/>
                    </w:rPr>
                    <w:t>. Občanské vybavení a služby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84D5E">
                  <w:pPr>
                    <w:pStyle w:val="TableContents"/>
                    <w:snapToGrid w:val="0"/>
                    <w:rPr>
                      <w:rFonts w:ascii="Aller" w:hAnsi="Aller"/>
                      <w:smallCaps/>
                    </w:rPr>
                  </w:pPr>
                  <w:r>
                    <w:rPr>
                      <w:rFonts w:ascii="Aller" w:hAnsi="Aller"/>
                    </w:rPr>
                    <w:t>1 494 806</w:t>
                  </w:r>
                  <w:r w:rsidR="00600BA4" w:rsidRPr="00126E69">
                    <w:rPr>
                      <w:rFonts w:ascii="Aller" w:hAnsi="Aller"/>
                    </w:rPr>
                    <w:t xml:space="preserve">,- </w:t>
                  </w:r>
                  <w:r w:rsidR="00600BA4" w:rsidRPr="00126E69">
                    <w:rPr>
                      <w:rFonts w:ascii="Aller" w:hAnsi="Aller"/>
                      <w:smallCaps/>
                    </w:rPr>
                    <w:t>Kč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737CA8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</w:rPr>
                  </w:pPr>
                  <w:r w:rsidRPr="00C072BE">
                    <w:rPr>
                      <w:rFonts w:ascii="Aller" w:hAnsi="Aller"/>
                      <w:b/>
                    </w:rPr>
                    <w:t>951 350,00 Kč</w:t>
                  </w:r>
                </w:p>
              </w:tc>
            </w:tr>
            <w:tr w:rsidR="00600BA4" w:rsidRPr="00126E69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C7699F" w:rsidP="00D02D68">
                  <w:pPr>
                    <w:jc w:val="both"/>
                    <w:rPr>
                      <w:rFonts w:ascii="Aller" w:hAnsi="Aller"/>
                      <w:szCs w:val="22"/>
                    </w:rPr>
                  </w:pPr>
                  <w:r w:rsidRPr="00C7699F">
                    <w:rPr>
                      <w:rFonts w:ascii="Aller" w:hAnsi="Aller"/>
                      <w:szCs w:val="22"/>
                    </w:rPr>
                    <w:t>739 651 077, 577 341 526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8905B8" w:rsidP="00D02D68">
                  <w:pPr>
                    <w:jc w:val="both"/>
                    <w:rPr>
                      <w:rFonts w:ascii="Aller" w:hAnsi="Aller"/>
                    </w:rPr>
                  </w:pPr>
                  <w:hyperlink r:id="rId8" w:history="1">
                    <w:r w:rsidR="00C7699F" w:rsidRPr="00C7699F">
                      <w:rPr>
                        <w:rStyle w:val="Hypertextovodkaz"/>
                        <w:szCs w:val="22"/>
                      </w:rPr>
                      <w:t>rudimov@seznam.cz</w:t>
                    </w:r>
                  </w:hyperlink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8D36BD" w:rsidRPr="008D36BD" w:rsidRDefault="008D36BD" w:rsidP="008D36BD">
            <w:pPr>
              <w:spacing w:after="120"/>
              <w:jc w:val="both"/>
              <w:rPr>
                <w:rFonts w:ascii="Aller" w:hAnsi="Aller"/>
                <w:bCs/>
              </w:rPr>
            </w:pPr>
            <w:r w:rsidRPr="008D36BD">
              <w:rPr>
                <w:rFonts w:ascii="Aller" w:hAnsi="Aller"/>
                <w:bCs/>
              </w:rPr>
              <w:t xml:space="preserve">Předmětem projektu </w:t>
            </w:r>
            <w:r w:rsidRPr="008D36BD">
              <w:rPr>
                <w:rFonts w:ascii="Aller" w:hAnsi="Aller"/>
                <w:b/>
                <w:bCs/>
              </w:rPr>
              <w:t xml:space="preserve">Stavební úpravy a přístavba domu </w:t>
            </w:r>
            <w:proofErr w:type="gramStart"/>
            <w:r w:rsidRPr="008D36BD">
              <w:rPr>
                <w:rFonts w:ascii="Aller" w:hAnsi="Aller"/>
                <w:b/>
                <w:bCs/>
              </w:rPr>
              <w:t>č.p.</w:t>
            </w:r>
            <w:proofErr w:type="gramEnd"/>
            <w:r w:rsidRPr="008D36BD">
              <w:rPr>
                <w:rFonts w:ascii="Aller" w:hAnsi="Aller"/>
                <w:b/>
                <w:bCs/>
              </w:rPr>
              <w:t xml:space="preserve"> 56 v Rudimově na obchod</w:t>
            </w:r>
            <w:r w:rsidRPr="008D36BD">
              <w:rPr>
                <w:rFonts w:ascii="Aller" w:hAnsi="Aller"/>
                <w:bCs/>
              </w:rPr>
              <w:t xml:space="preserve"> je rekonstrukce a přístavba obecní budovy za účelem vytvoření vhodného prostoru pro existenci prodejny smíšeného zboží, kterou občané Rudimova od konce roku 2008 postrádají.</w:t>
            </w:r>
          </w:p>
          <w:p w:rsidR="00C02F3C" w:rsidRPr="00C02F3C" w:rsidRDefault="00C02F3C" w:rsidP="00C02F3C">
            <w:pPr>
              <w:spacing w:after="120"/>
              <w:jc w:val="both"/>
              <w:rPr>
                <w:rFonts w:ascii="Aller" w:hAnsi="Aller"/>
                <w:bCs/>
              </w:rPr>
            </w:pPr>
            <w:r w:rsidRPr="00C02F3C">
              <w:rPr>
                <w:rFonts w:ascii="Aller" w:hAnsi="Aller"/>
                <w:bCs/>
              </w:rPr>
              <w:t>Nepřítomnost základní obchodní infrastruktury v obci je palčivým problémem, s nímž se Rudimov potýká již několik let. Dřívější obchod se smíšeným zbožím byl zrušen soukromým provozovatelem ze zdravotních důvodů koncem roku 2008</w:t>
            </w:r>
            <w:r>
              <w:rPr>
                <w:rFonts w:ascii="Aller" w:hAnsi="Aller"/>
                <w:bCs/>
              </w:rPr>
              <w:t xml:space="preserve">. </w:t>
            </w:r>
            <w:r w:rsidRPr="00C02F3C">
              <w:rPr>
                <w:rFonts w:ascii="Aller" w:hAnsi="Aller"/>
                <w:bCs/>
              </w:rPr>
              <w:t>Od konce roku 2008 tudíž občané Rudimova nemohou ve své obci nakoupit potraviny a jiné základní zboží. Znovuvytvoření základní obchodní infrastruktury v obci Rudimov, tj. prodejny smíšeného zboží, je tak jedním ze zásadních úkolů, které současné vedení obce řeší.</w:t>
            </w:r>
          </w:p>
          <w:p w:rsidR="00504D24" w:rsidRPr="000266D1" w:rsidRDefault="00504D24" w:rsidP="00F86EDA">
            <w:pPr>
              <w:spacing w:after="120"/>
              <w:jc w:val="both"/>
            </w:pPr>
          </w:p>
          <w:p w:rsidR="000266D1" w:rsidRPr="000266D1" w:rsidRDefault="00211B3E" w:rsidP="000266D1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 xml:space="preserve">Výstupy </w:t>
            </w:r>
            <w:r w:rsidR="007C1128">
              <w:rPr>
                <w:b/>
                <w:u w:val="single"/>
              </w:rPr>
              <w:t>projektu:</w:t>
            </w:r>
          </w:p>
          <w:p w:rsidR="00C02F3C" w:rsidRPr="00C02F3C" w:rsidRDefault="00C02F3C" w:rsidP="00C632D5">
            <w:pPr>
              <w:spacing w:after="120"/>
              <w:jc w:val="both"/>
              <w:rPr>
                <w:rFonts w:ascii="Aller" w:hAnsi="Aller"/>
                <w:bCs/>
                <w:color w:val="4C4C4C"/>
              </w:rPr>
            </w:pPr>
            <w:r w:rsidRPr="00C02F3C">
              <w:rPr>
                <w:rFonts w:ascii="Aller" w:hAnsi="Aller"/>
                <w:bCs/>
                <w:color w:val="4C4C4C"/>
              </w:rPr>
              <w:t xml:space="preserve">Realizace projektu </w:t>
            </w:r>
            <w:r w:rsidRPr="00C02F3C">
              <w:rPr>
                <w:rFonts w:ascii="Aller" w:hAnsi="Aller"/>
                <w:b/>
                <w:bCs/>
                <w:color w:val="4C4C4C"/>
              </w:rPr>
              <w:t xml:space="preserve">Stavební úpravy a přístavba domu </w:t>
            </w:r>
            <w:proofErr w:type="gramStart"/>
            <w:r w:rsidRPr="00C02F3C">
              <w:rPr>
                <w:rFonts w:ascii="Aller" w:hAnsi="Aller"/>
                <w:b/>
                <w:bCs/>
                <w:color w:val="4C4C4C"/>
              </w:rPr>
              <w:t>č.p.</w:t>
            </w:r>
            <w:proofErr w:type="gramEnd"/>
            <w:r w:rsidRPr="00C02F3C">
              <w:rPr>
                <w:rFonts w:ascii="Aller" w:hAnsi="Aller"/>
                <w:b/>
                <w:bCs/>
                <w:color w:val="4C4C4C"/>
              </w:rPr>
              <w:t xml:space="preserve"> 56 v Rudimově na obchod</w:t>
            </w:r>
            <w:r w:rsidRPr="00C02F3C">
              <w:rPr>
                <w:rFonts w:ascii="Aller" w:hAnsi="Aller"/>
                <w:bCs/>
                <w:color w:val="4C4C4C"/>
              </w:rPr>
              <w:t xml:space="preserve"> vzhledem k vytvoření důstojného prostoru pro základní obchodní infrastrukturu může vyřešit dlouhodobě neudržitelný a neuspokojivý stav, kdy občané Rudimova musí k nejbližší prodejně smíšeného zboží (obchodu) cestovat do 5 km vzdáleného Slavičína, popřípadě do 7 km vzdálených Bojkovic.</w:t>
            </w:r>
          </w:p>
          <w:p w:rsidR="00C02F3C" w:rsidRDefault="00C02F3C" w:rsidP="00C632D5">
            <w:pPr>
              <w:spacing w:after="120"/>
              <w:jc w:val="both"/>
              <w:rPr>
                <w:rFonts w:ascii="Aller" w:hAnsi="Aller"/>
                <w:bCs/>
                <w:color w:val="4C4C4C"/>
              </w:rPr>
            </w:pPr>
            <w:r w:rsidRPr="00C02F3C">
              <w:rPr>
                <w:rFonts w:ascii="Aller" w:hAnsi="Aller"/>
                <w:bCs/>
                <w:color w:val="4C4C4C"/>
              </w:rPr>
              <w:t xml:space="preserve">Využití rekonstruované budovy </w:t>
            </w:r>
            <w:proofErr w:type="gramStart"/>
            <w:r w:rsidRPr="00C02F3C">
              <w:rPr>
                <w:rFonts w:ascii="Aller" w:hAnsi="Aller"/>
                <w:bCs/>
                <w:color w:val="4C4C4C"/>
              </w:rPr>
              <w:t>č.p.</w:t>
            </w:r>
            <w:proofErr w:type="gramEnd"/>
            <w:r w:rsidRPr="00C02F3C">
              <w:rPr>
                <w:rFonts w:ascii="Aller" w:hAnsi="Aller"/>
                <w:bCs/>
                <w:color w:val="4C4C4C"/>
              </w:rPr>
              <w:t xml:space="preserve"> 56 je primárně koncipováno pro prodejnu smíšeného zboží (obchod), přičemž obec bude v souvislosti s dokončením projektu realizovat </w:t>
            </w:r>
            <w:r w:rsidRPr="00C02F3C">
              <w:rPr>
                <w:rFonts w:ascii="Aller" w:hAnsi="Aller"/>
                <w:b/>
                <w:bCs/>
                <w:color w:val="4C4C4C"/>
              </w:rPr>
              <w:t>transparentní výběrové řízení</w:t>
            </w:r>
            <w:r w:rsidRPr="00C02F3C">
              <w:rPr>
                <w:rFonts w:ascii="Aller" w:hAnsi="Aller"/>
                <w:bCs/>
                <w:color w:val="4C4C4C"/>
              </w:rPr>
              <w:t xml:space="preserve">, jehož cílem je výběr nájemníka rekonstruované budovy za účelem </w:t>
            </w:r>
            <w:r w:rsidRPr="00C02F3C">
              <w:rPr>
                <w:rFonts w:ascii="Aller" w:hAnsi="Aller"/>
                <w:b/>
                <w:bCs/>
                <w:color w:val="4C4C4C"/>
              </w:rPr>
              <w:t>provozování prodejny minimálně po dobu udržitelnosti projektu</w:t>
            </w:r>
            <w:r w:rsidR="00527FA5">
              <w:rPr>
                <w:rFonts w:ascii="Aller" w:hAnsi="Aller"/>
                <w:bCs/>
                <w:color w:val="4C4C4C"/>
              </w:rPr>
              <w:t>.</w:t>
            </w:r>
          </w:p>
          <w:p w:rsidR="001A3478" w:rsidRDefault="001A3478" w:rsidP="00527FA5">
            <w:pPr>
              <w:pStyle w:val="Textbody"/>
              <w:rPr>
                <w:b/>
                <w:u w:val="single"/>
              </w:rPr>
            </w:pPr>
          </w:p>
          <w:p w:rsidR="00527FA5" w:rsidRPr="009C511C" w:rsidRDefault="00527FA5" w:rsidP="00527FA5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lastRenderedPageBreak/>
              <w:t>Kritéria pro monitoring</w:t>
            </w:r>
          </w:p>
          <w:p w:rsidR="00527FA5" w:rsidRDefault="00527FA5" w:rsidP="00527FA5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</w:p>
          <w:tbl>
            <w:tblPr>
              <w:tblW w:w="700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16"/>
              <w:gridCol w:w="1559"/>
              <w:gridCol w:w="2126"/>
            </w:tblGrid>
            <w:tr w:rsidR="00527FA5" w:rsidRPr="005516C0" w:rsidTr="00527FA5">
              <w:trPr>
                <w:jc w:val="center"/>
              </w:trPr>
              <w:tc>
                <w:tcPr>
                  <w:tcW w:w="331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27FA5" w:rsidRPr="005516C0" w:rsidRDefault="00527FA5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27FA5" w:rsidRPr="005516C0" w:rsidRDefault="00527FA5" w:rsidP="00527FA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212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27FA5" w:rsidRPr="005516C0" w:rsidRDefault="00527FA5" w:rsidP="00527FA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527FA5" w:rsidRPr="005516C0" w:rsidTr="00527FA5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27FA5" w:rsidRPr="005516C0" w:rsidRDefault="00527FA5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obnovené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27FA5" w:rsidRPr="005516C0" w:rsidRDefault="00527FA5" w:rsidP="00527FA5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sz w:val="20"/>
                      <w:szCs w:val="20"/>
                    </w:rPr>
                    <w:t>Počet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27FA5" w:rsidRPr="005516C0" w:rsidRDefault="00527FA5" w:rsidP="00527FA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527FA5" w:rsidRPr="005516C0" w:rsidTr="00527FA5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27FA5" w:rsidRPr="005516C0" w:rsidRDefault="00527FA5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Dodržení parametrů a výstupů uvedených v projektu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27FA5" w:rsidRPr="005516C0" w:rsidRDefault="00527FA5" w:rsidP="00527FA5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27FA5" w:rsidRPr="005516C0" w:rsidRDefault="00527FA5" w:rsidP="00527FA5">
                  <w:pPr>
                    <w:pStyle w:val="TableContents"/>
                    <w:numPr>
                      <w:ilvl w:val="0"/>
                      <w:numId w:val="11"/>
                    </w:numPr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</w:tr>
          </w:tbl>
          <w:p w:rsidR="00527FA5" w:rsidRDefault="00527FA5" w:rsidP="00527FA5">
            <w:pPr>
              <w:spacing w:after="120"/>
              <w:rPr>
                <w:rFonts w:ascii="Aller" w:hAnsi="Aller"/>
                <w:bCs/>
              </w:rPr>
            </w:pPr>
          </w:p>
          <w:p w:rsidR="00527FA5" w:rsidRDefault="00527FA5" w:rsidP="00527FA5">
            <w:pPr>
              <w:pStyle w:val="Textbody"/>
              <w:jc w:val="center"/>
            </w:pPr>
            <w:r>
              <w:t>Dle Žádosti o dotaci</w:t>
            </w:r>
          </w:p>
          <w:tbl>
            <w:tblPr>
              <w:tblW w:w="8986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32"/>
              <w:gridCol w:w="2126"/>
              <w:gridCol w:w="1985"/>
              <w:gridCol w:w="1843"/>
            </w:tblGrid>
            <w:tr w:rsidR="00527FA5" w:rsidRPr="006D05F2" w:rsidTr="004B57F5">
              <w:trPr>
                <w:jc w:val="center"/>
              </w:trPr>
              <w:tc>
                <w:tcPr>
                  <w:tcW w:w="3032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27FA5" w:rsidRPr="006D05F2" w:rsidRDefault="00527FA5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27FA5" w:rsidRPr="006D05F2" w:rsidRDefault="00527FA5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98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27FA5" w:rsidRPr="006D05F2" w:rsidRDefault="00527FA5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Indikátory deklarované v </w:t>
                  </w:r>
                  <w:proofErr w:type="spellStart"/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ŽoD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27FA5" w:rsidRPr="006D05F2" w:rsidRDefault="00527FA5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Indikátory deklarované v </w:t>
                  </w:r>
                  <w:proofErr w:type="spellStart"/>
                  <w:proofErr w:type="gramStart"/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ŽoP</w:t>
                  </w:r>
                  <w:proofErr w:type="spellEnd"/>
                  <w:proofErr w:type="gramEnd"/>
                </w:p>
              </w:tc>
            </w:tr>
            <w:tr w:rsidR="00527FA5" w:rsidTr="004B57F5">
              <w:trPr>
                <w:jc w:val="center"/>
              </w:trPr>
              <w:tc>
                <w:tcPr>
                  <w:tcW w:w="3032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27FA5" w:rsidRPr="006D05F2" w:rsidRDefault="00527FA5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osob využívajících zkvalitněné služby</w:t>
                  </w:r>
                </w:p>
              </w:tc>
              <w:tc>
                <w:tcPr>
                  <w:tcW w:w="212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27FA5" w:rsidRDefault="00527FA5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EB75F8">
                    <w:rPr>
                      <w:rFonts w:ascii="Aller" w:hAnsi="Aller" w:cs="Tahoma"/>
                      <w:sz w:val="18"/>
                      <w:szCs w:val="18"/>
                    </w:rPr>
                    <w:t>Počet</w:t>
                  </w:r>
                </w:p>
              </w:tc>
              <w:tc>
                <w:tcPr>
                  <w:tcW w:w="19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27FA5" w:rsidRDefault="0079374D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4</w:t>
                  </w:r>
                  <w:r w:rsidR="00527FA5">
                    <w:rPr>
                      <w:rFonts w:ascii="Aller" w:hAnsi="Aller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84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27FA5" w:rsidRDefault="0079374D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400</w:t>
                  </w:r>
                </w:p>
              </w:tc>
            </w:tr>
            <w:tr w:rsidR="00527FA5" w:rsidTr="004B57F5">
              <w:trPr>
                <w:jc w:val="center"/>
              </w:trPr>
              <w:tc>
                <w:tcPr>
                  <w:tcW w:w="3032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27FA5" w:rsidRPr="006D05F2" w:rsidRDefault="00527FA5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osob s přístupem k internetu</w:t>
                  </w:r>
                </w:p>
              </w:tc>
              <w:tc>
                <w:tcPr>
                  <w:tcW w:w="2126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27FA5" w:rsidRDefault="00527FA5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EB75F8">
                    <w:rPr>
                      <w:rFonts w:ascii="Aller" w:hAnsi="Aller" w:cs="Tahoma"/>
                      <w:sz w:val="18"/>
                      <w:szCs w:val="18"/>
                    </w:rPr>
                    <w:t>Počet</w:t>
                  </w:r>
                </w:p>
              </w:tc>
              <w:tc>
                <w:tcPr>
                  <w:tcW w:w="198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27FA5" w:rsidRDefault="00527FA5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27FA5" w:rsidRDefault="00527FA5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527FA5" w:rsidTr="004B57F5">
              <w:trPr>
                <w:jc w:val="center"/>
              </w:trPr>
              <w:tc>
                <w:tcPr>
                  <w:tcW w:w="3032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27FA5" w:rsidRPr="006D05F2" w:rsidRDefault="00527FA5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vytvořených pracovních míst</w:t>
                  </w:r>
                </w:p>
              </w:tc>
              <w:tc>
                <w:tcPr>
                  <w:tcW w:w="212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27FA5" w:rsidRDefault="00527FA5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EB75F8">
                    <w:rPr>
                      <w:rFonts w:ascii="Aller" w:hAnsi="Aller" w:cs="Tahoma"/>
                      <w:sz w:val="18"/>
                      <w:szCs w:val="18"/>
                    </w:rPr>
                    <w:t>Počet</w:t>
                  </w:r>
                </w:p>
              </w:tc>
              <w:tc>
                <w:tcPr>
                  <w:tcW w:w="19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27FA5" w:rsidRDefault="00527FA5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27FA5" w:rsidRDefault="00527FA5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527FA5" w:rsidRDefault="00527FA5" w:rsidP="00C632D5">
            <w:pPr>
              <w:spacing w:after="120"/>
              <w:jc w:val="both"/>
              <w:rPr>
                <w:rFonts w:ascii="Aller" w:hAnsi="Aller"/>
                <w:bCs/>
                <w:color w:val="4C4C4C"/>
              </w:rPr>
            </w:pPr>
          </w:p>
          <w:p w:rsidR="000266D1" w:rsidRDefault="00C36598" w:rsidP="00B35741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  <w:r w:rsidRPr="00A66323">
              <w:rPr>
                <w:rFonts w:ascii="Aller" w:hAnsi="Aller"/>
                <w:b/>
                <w:bCs/>
                <w:color w:val="4C4C4C"/>
                <w:u w:val="single"/>
              </w:rPr>
              <w:t>Fotodokumentace</w:t>
            </w:r>
          </w:p>
          <w:p w:rsidR="001A3478" w:rsidRPr="00A66323" w:rsidRDefault="001A3478" w:rsidP="00B35741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54621A" w:rsidRDefault="0054621A" w:rsidP="001A3478">
            <w:pPr>
              <w:spacing w:after="120"/>
              <w:jc w:val="center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noProof/>
                <w:color w:val="4C4C4C"/>
                <w:lang w:eastAsia="cs-CZ" w:bidi="ar-SA"/>
              </w:rPr>
              <w:drawing>
                <wp:inline distT="0" distB="0" distL="0" distR="0">
                  <wp:extent cx="4486939" cy="3365423"/>
                  <wp:effectExtent l="0" t="0" r="0" b="698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dimov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8306" cy="336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621A" w:rsidRPr="00DB3906" w:rsidRDefault="001A3478" w:rsidP="001A3478">
            <w:pPr>
              <w:spacing w:after="120"/>
              <w:jc w:val="center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noProof/>
                <w:color w:val="4C4C4C"/>
                <w:lang w:eastAsia="cs-CZ" w:bidi="ar-SA"/>
              </w:rPr>
              <w:lastRenderedPageBreak/>
              <w:drawing>
                <wp:inline distT="0" distB="0" distL="0" distR="0">
                  <wp:extent cx="2590473" cy="4603897"/>
                  <wp:effectExtent l="0" t="0" r="635" b="6350"/>
                  <wp:docPr id="6" name="Obrázek 6" descr="C:\Users\Zuzka\Dropbox\LZ\LEADER\MAS_Foto_projektů\V01\Rudimov\obchod 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zka\Dropbox\LZ\LEADER\MAS_Foto_projektů\V01\Rudimov\obchod 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577" cy="461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6F5B4F" w:rsidRDefault="006F5B4F" w:rsidP="00B54EBC">
            <w:pPr>
              <w:spacing w:after="120"/>
            </w:pPr>
          </w:p>
        </w:tc>
      </w:tr>
    </w:tbl>
    <w:p w:rsidR="00506CFD" w:rsidRDefault="00506CFD">
      <w:pPr>
        <w:pStyle w:val="Standard"/>
      </w:pPr>
    </w:p>
    <w:p w:rsidR="00310134" w:rsidRDefault="00310134">
      <w:pPr>
        <w:pStyle w:val="Standard"/>
      </w:pPr>
    </w:p>
    <w:sectPr w:rsidR="003101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B8" w:rsidRDefault="008905B8">
      <w:r>
        <w:separator/>
      </w:r>
    </w:p>
  </w:endnote>
  <w:endnote w:type="continuationSeparator" w:id="0">
    <w:p w:rsidR="008905B8" w:rsidRDefault="0089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B8" w:rsidRDefault="008905B8">
      <w:r>
        <w:rPr>
          <w:color w:val="000000"/>
        </w:rPr>
        <w:separator/>
      </w:r>
    </w:p>
  </w:footnote>
  <w:footnote w:type="continuationSeparator" w:id="0">
    <w:p w:rsidR="008905B8" w:rsidRDefault="00890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146"/>
    <w:multiLevelType w:val="hybridMultilevel"/>
    <w:tmpl w:val="C1485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15A794D"/>
    <w:multiLevelType w:val="hybridMultilevel"/>
    <w:tmpl w:val="BA92F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5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6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684476"/>
    <w:multiLevelType w:val="hybridMultilevel"/>
    <w:tmpl w:val="4212336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B87B26"/>
    <w:multiLevelType w:val="hybridMultilevel"/>
    <w:tmpl w:val="6FFEF9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83504"/>
    <w:multiLevelType w:val="hybridMultilevel"/>
    <w:tmpl w:val="2006D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266D1"/>
    <w:rsid w:val="000E6E9D"/>
    <w:rsid w:val="00110C9D"/>
    <w:rsid w:val="00122D4A"/>
    <w:rsid w:val="00124A19"/>
    <w:rsid w:val="00126E69"/>
    <w:rsid w:val="00135494"/>
    <w:rsid w:val="001428B0"/>
    <w:rsid w:val="001550C3"/>
    <w:rsid w:val="001A3270"/>
    <w:rsid w:val="001A3478"/>
    <w:rsid w:val="00211B3E"/>
    <w:rsid w:val="0028349E"/>
    <w:rsid w:val="00310134"/>
    <w:rsid w:val="00332C10"/>
    <w:rsid w:val="003F2E82"/>
    <w:rsid w:val="004045FD"/>
    <w:rsid w:val="004A62F7"/>
    <w:rsid w:val="004B311A"/>
    <w:rsid w:val="004C19EF"/>
    <w:rsid w:val="004C502E"/>
    <w:rsid w:val="00504D24"/>
    <w:rsid w:val="00506CFD"/>
    <w:rsid w:val="00527FA5"/>
    <w:rsid w:val="0054621A"/>
    <w:rsid w:val="005957C1"/>
    <w:rsid w:val="00596F4C"/>
    <w:rsid w:val="005F146C"/>
    <w:rsid w:val="00600BA4"/>
    <w:rsid w:val="00684D5E"/>
    <w:rsid w:val="006D1DBC"/>
    <w:rsid w:val="006D6BC7"/>
    <w:rsid w:val="006F5B4F"/>
    <w:rsid w:val="00733AA6"/>
    <w:rsid w:val="00737CA8"/>
    <w:rsid w:val="0079374D"/>
    <w:rsid w:val="007A22D2"/>
    <w:rsid w:val="007B590A"/>
    <w:rsid w:val="007C1128"/>
    <w:rsid w:val="007D2E7F"/>
    <w:rsid w:val="007F7630"/>
    <w:rsid w:val="00831065"/>
    <w:rsid w:val="00860820"/>
    <w:rsid w:val="00870764"/>
    <w:rsid w:val="008905B8"/>
    <w:rsid w:val="008D36BD"/>
    <w:rsid w:val="00916846"/>
    <w:rsid w:val="00955BDF"/>
    <w:rsid w:val="009A4B28"/>
    <w:rsid w:val="009E0051"/>
    <w:rsid w:val="00A15986"/>
    <w:rsid w:val="00A22931"/>
    <w:rsid w:val="00A66323"/>
    <w:rsid w:val="00AA5545"/>
    <w:rsid w:val="00B35741"/>
    <w:rsid w:val="00B51E9D"/>
    <w:rsid w:val="00B54EBC"/>
    <w:rsid w:val="00BA216A"/>
    <w:rsid w:val="00BE458F"/>
    <w:rsid w:val="00BF192C"/>
    <w:rsid w:val="00C02F3C"/>
    <w:rsid w:val="00C36598"/>
    <w:rsid w:val="00C57A5C"/>
    <w:rsid w:val="00C63177"/>
    <w:rsid w:val="00C632D5"/>
    <w:rsid w:val="00C7699F"/>
    <w:rsid w:val="00CA380A"/>
    <w:rsid w:val="00D46825"/>
    <w:rsid w:val="00D478A3"/>
    <w:rsid w:val="00D82771"/>
    <w:rsid w:val="00DB3906"/>
    <w:rsid w:val="00EA36A9"/>
    <w:rsid w:val="00EE03C5"/>
    <w:rsid w:val="00EF1C0D"/>
    <w:rsid w:val="00F3454C"/>
    <w:rsid w:val="00F86EDA"/>
    <w:rsid w:val="00F944E7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16A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16A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imov@seznam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14</cp:revision>
  <cp:lastPrinted>2010-11-11T22:08:00Z</cp:lastPrinted>
  <dcterms:created xsi:type="dcterms:W3CDTF">2011-02-24T15:50:00Z</dcterms:created>
  <dcterms:modified xsi:type="dcterms:W3CDTF">2012-07-27T06:55:00Z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