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A258C4" w:rsidP="00A258C4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VEŘEJNÉ OSVĚTLENÍ V DOLNÍ LHOTĚ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D5325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OBEC DOL</w:t>
                  </w:r>
                  <w:r w:rsidR="006425BF" w:rsidRPr="006425BF">
                    <w:rPr>
                      <w:rFonts w:ascii="Aller" w:hAnsi="Aller"/>
                      <w:sz w:val="22"/>
                      <w:szCs w:val="22"/>
                    </w:rPr>
                    <w:t>NÍ LHOTA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D5325F" w:rsidRPr="006425BF">
                    <w:rPr>
                      <w:rFonts w:ascii="Aller" w:hAnsi="Aller"/>
                      <w:sz w:val="22"/>
                      <w:szCs w:val="22"/>
                    </w:rPr>
                    <w:t>III. 2.1.1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D5325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912 871</w:t>
                  </w:r>
                  <w:r w:rsidR="006425BF" w:rsidRPr="006425BF">
                    <w:rPr>
                      <w:rFonts w:ascii="Aller" w:hAnsi="Aller" w:cs="Arial"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D5325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496 638</w:t>
                  </w:r>
                  <w:r w:rsidR="006425BF" w:rsidRPr="006425B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D5325F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577 138 023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9F0A04" w:rsidRDefault="00812F0B" w:rsidP="00D5325F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D5325F" w:rsidRPr="00AD026F">
                      <w:rPr>
                        <w:rStyle w:val="Hypertextovodkaz"/>
                        <w:rFonts w:ascii="Aller" w:hAnsi="Aller"/>
                      </w:rPr>
                      <w:t>obecdolnilhota@volny.cz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5325F" w:rsidRDefault="00D5325F" w:rsidP="007C1128">
            <w:pPr>
              <w:pStyle w:val="Textbody"/>
            </w:pPr>
            <w:r>
              <w:t xml:space="preserve">Realizací projektu došlo </w:t>
            </w:r>
            <w:r w:rsidRPr="00D5325F">
              <w:t>k obměně veřejného osvětlení v obci.</w:t>
            </w:r>
            <w:r>
              <w:t xml:space="preserve"> Obec v</w:t>
            </w:r>
            <w:r w:rsidRPr="00D5325F">
              <w:t xml:space="preserve"> minulých letech realizovala 1. a 2. etapu výstavby </w:t>
            </w:r>
            <w:r>
              <w:t>veřejného osvětlení</w:t>
            </w:r>
            <w:r w:rsidRPr="00D5325F">
              <w:t xml:space="preserve"> a rozhodla </w:t>
            </w:r>
            <w:r>
              <w:t>se zkompletovat veřejné osvětlení v obci.</w:t>
            </w:r>
          </w:p>
          <w:p w:rsidR="00504D24" w:rsidRDefault="00D5325F" w:rsidP="007C1128">
            <w:pPr>
              <w:pStyle w:val="Textbody"/>
            </w:pPr>
            <w:r w:rsidRPr="00D5325F">
              <w:t>Obec se rozhodla pro instalaci výbojkových svítidel, jelikož v minulých etapách začala s instalací tohoto druhu světel a pro zachování kontinuity a jednotného vzhledu prostranství bude v t</w:t>
            </w:r>
            <w:r>
              <w:t>omto trendu i nadále pokračovat</w:t>
            </w:r>
            <w:r w:rsidRPr="00D5325F">
              <w:t>.</w:t>
            </w:r>
          </w:p>
          <w:p w:rsidR="00E4146B" w:rsidRDefault="00E4146B" w:rsidP="007C1128">
            <w:pPr>
              <w:pStyle w:val="Textbody"/>
            </w:pP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F17B85" w:rsidRPr="00F17B85" w:rsidRDefault="00D5325F" w:rsidP="00F17B85">
            <w:pPr>
              <w:pStyle w:val="Textbody"/>
              <w:rPr>
                <w:iCs/>
              </w:rPr>
            </w:pPr>
            <w:r>
              <w:rPr>
                <w:iCs/>
              </w:rPr>
              <w:t>V rámci realizace projektu dojde k:</w:t>
            </w:r>
          </w:p>
          <w:p w:rsidR="00F17B85" w:rsidRPr="00F17B85" w:rsidRDefault="00D5325F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Instalaci 26 ks výbojkových svítidel</w:t>
            </w:r>
          </w:p>
          <w:p w:rsidR="00D5325F" w:rsidRPr="008A0900" w:rsidRDefault="00D5325F" w:rsidP="00D5325F">
            <w:pPr>
              <w:pStyle w:val="Textbody"/>
            </w:pPr>
            <w:r>
              <w:t>Výsledkem projektu bude vysoká úspora finančních prostředků nutných pro údržbu a provoz veřejného osvětlení v obci, kvalitnější osvětlení veřejných prostranství a ulic.</w:t>
            </w:r>
          </w:p>
          <w:p w:rsidR="00FE33B4" w:rsidRDefault="00FE33B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E4146B" w:rsidRDefault="00E4146B" w:rsidP="004341C1">
            <w:pPr>
              <w:pStyle w:val="Textbody"/>
              <w:rPr>
                <w:b/>
                <w:u w:val="single"/>
              </w:rPr>
            </w:pPr>
          </w:p>
          <w:p w:rsidR="004341C1" w:rsidRPr="009C511C" w:rsidRDefault="004341C1" w:rsidP="004341C1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4341C1" w:rsidRDefault="004341C1" w:rsidP="004341C1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5325F">
              <w:t xml:space="preserve"> a Žádosti o dotaci</w:t>
            </w:r>
          </w:p>
          <w:p w:rsidR="004341C1" w:rsidRPr="009D1A08" w:rsidRDefault="004341C1" w:rsidP="004341C1"/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D5325F" w:rsidRPr="006D05F2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341C1" w:rsidRDefault="004341C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E4146B" w:rsidRPr="00A66323" w:rsidRDefault="00E4146B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bookmarkStart w:id="0" w:name="_GoBack"/>
            <w:bookmarkEnd w:id="0"/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0B" w:rsidRDefault="00812F0B">
      <w:r>
        <w:separator/>
      </w:r>
    </w:p>
  </w:endnote>
  <w:endnote w:type="continuationSeparator" w:id="0">
    <w:p w:rsidR="00812F0B" w:rsidRDefault="008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0B" w:rsidRDefault="00812F0B">
      <w:r>
        <w:rPr>
          <w:color w:val="000000"/>
        </w:rPr>
        <w:separator/>
      </w:r>
    </w:p>
  </w:footnote>
  <w:footnote w:type="continuationSeparator" w:id="0">
    <w:p w:rsidR="00812F0B" w:rsidRDefault="0081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D7ED1"/>
    <w:rsid w:val="000E7D1C"/>
    <w:rsid w:val="00124A19"/>
    <w:rsid w:val="00130FB4"/>
    <w:rsid w:val="00140DA1"/>
    <w:rsid w:val="001428B0"/>
    <w:rsid w:val="001550C3"/>
    <w:rsid w:val="00177D83"/>
    <w:rsid w:val="001A3270"/>
    <w:rsid w:val="001D09FF"/>
    <w:rsid w:val="0020303B"/>
    <w:rsid w:val="00211B3E"/>
    <w:rsid w:val="0028349E"/>
    <w:rsid w:val="002D1F63"/>
    <w:rsid w:val="003E20F9"/>
    <w:rsid w:val="003F2E82"/>
    <w:rsid w:val="0040197E"/>
    <w:rsid w:val="004341C1"/>
    <w:rsid w:val="00442337"/>
    <w:rsid w:val="004A7904"/>
    <w:rsid w:val="004B311A"/>
    <w:rsid w:val="00504D24"/>
    <w:rsid w:val="00506CFD"/>
    <w:rsid w:val="00540064"/>
    <w:rsid w:val="00596F4C"/>
    <w:rsid w:val="006152B3"/>
    <w:rsid w:val="006425BF"/>
    <w:rsid w:val="0066768C"/>
    <w:rsid w:val="006A715D"/>
    <w:rsid w:val="006D6BC7"/>
    <w:rsid w:val="006E05FD"/>
    <w:rsid w:val="006F5B4F"/>
    <w:rsid w:val="00747670"/>
    <w:rsid w:val="007A22D2"/>
    <w:rsid w:val="007C1128"/>
    <w:rsid w:val="007F7630"/>
    <w:rsid w:val="00812F0B"/>
    <w:rsid w:val="00860820"/>
    <w:rsid w:val="00861BE5"/>
    <w:rsid w:val="00895E3E"/>
    <w:rsid w:val="008A0900"/>
    <w:rsid w:val="008E6620"/>
    <w:rsid w:val="00955BDF"/>
    <w:rsid w:val="009F0A04"/>
    <w:rsid w:val="00A15534"/>
    <w:rsid w:val="00A15986"/>
    <w:rsid w:val="00A258C4"/>
    <w:rsid w:val="00AB2CED"/>
    <w:rsid w:val="00AE48ED"/>
    <w:rsid w:val="00BD316D"/>
    <w:rsid w:val="00C145BB"/>
    <w:rsid w:val="00C57A5C"/>
    <w:rsid w:val="00C9329F"/>
    <w:rsid w:val="00CA380A"/>
    <w:rsid w:val="00D46825"/>
    <w:rsid w:val="00D5325F"/>
    <w:rsid w:val="00DD4EAC"/>
    <w:rsid w:val="00E27ED0"/>
    <w:rsid w:val="00E4146B"/>
    <w:rsid w:val="00EA36A9"/>
    <w:rsid w:val="00EE03C5"/>
    <w:rsid w:val="00EF1C0D"/>
    <w:rsid w:val="00F17B85"/>
    <w:rsid w:val="00F3454C"/>
    <w:rsid w:val="00F848D3"/>
    <w:rsid w:val="00F96A17"/>
    <w:rsid w:val="00FA1DCE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dolnilhota@voln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6</cp:revision>
  <cp:lastPrinted>2010-11-11T22:08:00Z</cp:lastPrinted>
  <dcterms:created xsi:type="dcterms:W3CDTF">2012-03-07T11:06:00Z</dcterms:created>
  <dcterms:modified xsi:type="dcterms:W3CDTF">2012-07-27T07:39:00Z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